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85" w:rsidRDefault="00A15E85" w:rsidP="0095115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51150">
        <w:rPr>
          <w:b/>
          <w:bCs/>
          <w:sz w:val="28"/>
          <w:szCs w:val="28"/>
        </w:rPr>
        <w:t xml:space="preserve">СТАНДАРТ РОССИЙСКОЙ ФЕДЕРАЦИИ </w:t>
      </w:r>
    </w:p>
    <w:p w:rsidR="00951150" w:rsidRP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5E85" w:rsidRPr="00951150" w:rsidRDefault="00A15E85" w:rsidP="00951150">
      <w:pPr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 xml:space="preserve">ОБРАЗОВАНИЕ: Начальное профессиональное образование </w:t>
      </w:r>
    </w:p>
    <w:p w:rsidR="00A15E85" w:rsidRPr="00951150" w:rsidRDefault="00A15E85" w:rsidP="00951150">
      <w:pPr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ПРОФЕССИЯ: водитель т</w:t>
      </w:r>
      <w:bookmarkStart w:id="0" w:name="_GoBack"/>
      <w:bookmarkEnd w:id="0"/>
      <w:r w:rsidRPr="00951150">
        <w:rPr>
          <w:b/>
          <w:sz w:val="28"/>
          <w:szCs w:val="28"/>
        </w:rPr>
        <w:t>ранспортного средства категории "В"</w:t>
      </w:r>
      <w:r w:rsidR="009D5E5E" w:rsidRPr="00951150">
        <w:rPr>
          <w:b/>
          <w:sz w:val="28"/>
          <w:szCs w:val="28"/>
        </w:rPr>
        <w:t xml:space="preserve"> </w:t>
      </w:r>
      <w:r w:rsidRPr="00951150">
        <w:rPr>
          <w:b/>
          <w:sz w:val="28"/>
          <w:szCs w:val="28"/>
        </w:rPr>
        <w:t>ОСТ 9 ПО 04.02.02-96</w:t>
      </w:r>
    </w:p>
    <w:p w:rsidR="00A15E85" w:rsidRDefault="00A15E85" w:rsidP="00951150">
      <w:pPr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 xml:space="preserve">Дата введения 15 октября </w:t>
      </w:r>
      <w:smartTag w:uri="urn:schemas-microsoft-com:office:smarttags" w:element="metricconverter">
        <w:smartTagPr>
          <w:attr w:name="ProductID" w:val="1996 г"/>
        </w:smartTagPr>
        <w:r w:rsidRPr="00951150">
          <w:rPr>
            <w:b/>
            <w:sz w:val="28"/>
            <w:szCs w:val="28"/>
          </w:rPr>
          <w:t>1996 г</w:t>
        </w:r>
      </w:smartTag>
      <w:r w:rsidRPr="00951150">
        <w:rPr>
          <w:b/>
          <w:sz w:val="28"/>
          <w:szCs w:val="28"/>
        </w:rPr>
        <w:t>.</w:t>
      </w:r>
    </w:p>
    <w:p w:rsidR="00951150" w:rsidRPr="00951150" w:rsidRDefault="00951150" w:rsidP="00951150">
      <w:pPr>
        <w:rPr>
          <w:b/>
          <w:sz w:val="28"/>
          <w:szCs w:val="28"/>
        </w:rPr>
      </w:pPr>
    </w:p>
    <w:p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5E85" w:rsidRDefault="00A15E85" w:rsidP="0095115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1150">
        <w:rPr>
          <w:sz w:val="28"/>
          <w:szCs w:val="28"/>
        </w:rPr>
        <w:t> </w:t>
      </w:r>
      <w:r w:rsidRPr="00032A7A">
        <w:rPr>
          <w:b/>
          <w:sz w:val="28"/>
          <w:szCs w:val="28"/>
        </w:rPr>
        <w:t>ПОЯСНИТЕЛЬНАЯ ЗАПИСКА</w:t>
      </w:r>
    </w:p>
    <w:p w:rsidR="00032A7A" w:rsidRPr="00032A7A" w:rsidRDefault="00032A7A" w:rsidP="0095115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Федеральный компонент стандарта начального профессионального образования Российской федерации по профессии водитель транспортно</w:t>
      </w:r>
      <w:r w:rsidRPr="00951150">
        <w:rPr>
          <w:sz w:val="28"/>
          <w:szCs w:val="28"/>
        </w:rPr>
        <w:softHyphen/>
        <w:t>го средства категории "В" включает документы: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а) профессиональную характеристику;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б) федеральный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компонент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содержания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профессионального цикла обучения.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Организация обучения по профессии осуществляется в соот</w:t>
      </w:r>
      <w:r w:rsidRPr="00951150">
        <w:rPr>
          <w:sz w:val="28"/>
          <w:szCs w:val="28"/>
        </w:rPr>
        <w:softHyphen/>
        <w:t>ветствии с Перечнем профессий и специальностей начального профессионального образования (ОСТ 9 ПО 01.04-94).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Профессиональная характеристика отражает содержательные параметры профессиональной деятельности: ее основные виды, а также их теоретические основы.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В структуре Федерального компонента содержания профессионального цикла выделены блоки учебного материала, предметные области и учебные элементы с указанием уровня их усвоения.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Название учебных элементов в стандарте указывает на конкретное содержание деятельности, которые должен освоить выпускник в результате обучения. Соотношение теоретического и практического обучении при усвоении учебных элементов определяется учебно-программной документацией.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Учебным элементам соответствуют определенные уровни усвоения. Стандарт начального профессионального образования предусматривает использование следующих уровней: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 уровень - узнавание изученных ранее объектов, свойств, процессов в данной профессиональной деятельности и выполнение действий с опорой (подсказкой).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2 уровень - самостоятельное выполнение по памяти типового действия.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3 уровень - продуктивное действие, т.е. создание алгоритма деятельности в нетиповой ситуации на основе изученных ранее типовых действий.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При изложении федерального компонента принят следующий порядок: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названия блоков пишутся заглавными буквами и имеют сквозную нумерацию;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названия модулей выделяются курсивом;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названия предметных областей внутри блоков выделены прописными буквами, номер предметной области содержит номер блока и порядковый номер области внутри блока;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номер основного обобщающего учебного элемента включает номер блока и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порядковый номер данного элемента;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узловые учебные элементы перечисляются с красной строки после основного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обобщающего учебного элемента, к которому относятся;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lastRenderedPageBreak/>
        <w:t>для ряда учебных элементов и некоторых предметных областей выделены характеризующие их признаки, которые следуют после двоеточия за названием предметной области или учебного элемента;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признаки основного обобщающего учебного элемента или предметной области относятся ко всем входящим в них нижерасположенным учебным элементам;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для учебных элементов, после которых уровень усвоения не ука</w:t>
      </w:r>
      <w:r w:rsidRPr="00951150">
        <w:rPr>
          <w:sz w:val="28"/>
          <w:szCs w:val="28"/>
        </w:rPr>
        <w:softHyphen/>
        <w:t>зан, подразумевается первый уровень;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уровень усвоения отличный от первого уровня указывается в круглых скобках непосредственно за учебным элементом или признаком и относится только к нему.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Учебные планы и программы для организации обучения по профессии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водитель транспортного средства категории "В" разрабатываются Институтом развития профессионального образования Министерства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образования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Российской Федерации на основе Модели учебного плана для учреждений начального профессионального образования (ОСТ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9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ПО 01.03-93), документов настоящего стандарта, документов, регламентирующих федеральный компонент содержания отдельных циклов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обучения, примерной программной документации по профессии, разработанной Инс</w:t>
      </w:r>
      <w:r w:rsidRPr="00951150">
        <w:rPr>
          <w:sz w:val="28"/>
          <w:szCs w:val="28"/>
        </w:rPr>
        <w:softHyphen/>
        <w:t>титутом развития профессионального образования Министерства образования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Российской Федерации, а также документов национально-регионального компонента стандарта начального профессионального образо</w:t>
      </w:r>
      <w:r w:rsidRPr="00951150">
        <w:rPr>
          <w:sz w:val="28"/>
          <w:szCs w:val="28"/>
        </w:rPr>
        <w:softHyphen/>
        <w:t>вания.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Требования к результатам обучения (содержательные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параметры деятельности, указанные в профессиональной характеристике, учебные элементы и их уровни усвоения) являются основными параметрами, проверяемыми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при оценке качества подготовки выпускников по специальности и аттестации образовательного учреждения. Выполнение этих требований служит основанием для выдачи выпускникам документов государственного образца о квалификации.</w:t>
      </w:r>
    </w:p>
    <w:p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Данный стандарт имеет межведомственный характер, распространяется на все формы подготовки по специальности, как в государственных, таки негосударственных структурах независимо от их правового статуса и имеет юридическую силу во всех регионах Российской Федерации.</w:t>
      </w:r>
    </w:p>
    <w:p w:rsidR="005873B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1150" w:rsidRP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73B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1150" w:rsidRP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5E85" w:rsidRPr="00032A7A" w:rsidRDefault="00A15E85" w:rsidP="0095115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32A7A">
        <w:rPr>
          <w:b/>
          <w:sz w:val="28"/>
          <w:szCs w:val="28"/>
        </w:rPr>
        <w:t>ПРОФЕССИОНАЛЬНАЯ</w:t>
      </w:r>
      <w:r w:rsidR="00A24CC5" w:rsidRPr="00032A7A">
        <w:rPr>
          <w:b/>
          <w:sz w:val="28"/>
          <w:szCs w:val="28"/>
        </w:rPr>
        <w:t xml:space="preserve"> </w:t>
      </w:r>
      <w:r w:rsidRPr="00032A7A">
        <w:rPr>
          <w:b/>
          <w:sz w:val="28"/>
          <w:szCs w:val="28"/>
        </w:rPr>
        <w:t>ХАРАКТЕРИСТИКА</w:t>
      </w:r>
    </w:p>
    <w:p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1. Профессия: Водитель транспортного средства категории "В"</w:t>
      </w:r>
    </w:p>
    <w:p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2. Назначение профессии</w:t>
      </w:r>
    </w:p>
    <w:p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lastRenderedPageBreak/>
        <w:t xml:space="preserve">Водитель транспортного средства категории "В" имеет право управлять автомобилями, разрешенная максимальная масса которых не превышает </w:t>
      </w:r>
      <w:smartTag w:uri="urn:schemas-microsoft-com:office:smarttags" w:element="metricconverter">
        <w:smartTagPr>
          <w:attr w:name="ProductID" w:val="3500 кг"/>
        </w:smartTagPr>
        <w:r w:rsidRPr="00951150">
          <w:rPr>
            <w:sz w:val="28"/>
            <w:szCs w:val="28"/>
          </w:rPr>
          <w:t>3500 кг</w:t>
        </w:r>
      </w:smartTag>
      <w:r w:rsidRPr="00951150">
        <w:rPr>
          <w:sz w:val="28"/>
          <w:szCs w:val="28"/>
        </w:rPr>
        <w:t xml:space="preserve">, и число сидячих мест которых, помимо сиденья водителя, не превышает восьми; на управление автомобилями с прицепом, разрешенная максимальная масса которого не превышает </w:t>
      </w:r>
      <w:smartTag w:uri="urn:schemas-microsoft-com:office:smarttags" w:element="metricconverter">
        <w:smartTagPr>
          <w:attr w:name="ProductID" w:val="750 кг"/>
        </w:smartTagPr>
        <w:r w:rsidRPr="00951150">
          <w:rPr>
            <w:sz w:val="28"/>
            <w:szCs w:val="28"/>
          </w:rPr>
          <w:t>750 кг</w:t>
        </w:r>
      </w:smartTag>
      <w:r w:rsidRPr="00951150">
        <w:rPr>
          <w:sz w:val="28"/>
          <w:szCs w:val="28"/>
        </w:rPr>
        <w:t>; осуществляет перевозки пассажиров и грузов.</w:t>
      </w:r>
    </w:p>
    <w:p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условиях, экономично его эксплуатировать и управлять им с соблюдением безопасности движения.</w:t>
      </w:r>
    </w:p>
    <w:p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Оказание первой доврачебной медицинской помощи пострадавшим при несчастных случаях на дорогах.</w:t>
      </w:r>
    </w:p>
    <w:p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Оформление и ведение установленной путевой документации.</w:t>
      </w:r>
    </w:p>
    <w:p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3.Квалификация</w:t>
      </w:r>
    </w:p>
    <w:p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В системе непрерывного профессионального образования водитель транспортного средства категории "В" относится к первой ступени квалификации.</w:t>
      </w:r>
    </w:p>
    <w:p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Обучение по данной профессии может осуществляться самостоятельно в соответствии с требованиями Стандарта.</w:t>
      </w:r>
    </w:p>
    <w:p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Повышение квалификации водителя транспортного средства осуществляется для углубления и расширения начальных знаний и умений, а также получения смежной профессии.</w:t>
      </w:r>
    </w:p>
    <w:p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4. Содержательные параметры профессиональной деятельности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9"/>
        <w:gridCol w:w="3666"/>
      </w:tblGrid>
      <w:tr w:rsidR="00A24CC5" w:rsidRPr="0095115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 Вид</w:t>
            </w:r>
            <w:r w:rsidR="005873B0" w:rsidRPr="00951150">
              <w:rPr>
                <w:sz w:val="28"/>
                <w:szCs w:val="28"/>
              </w:rPr>
              <w:t xml:space="preserve"> </w:t>
            </w:r>
            <w:r w:rsidRPr="00951150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Теоретические основы профессиональной деятельности</w:t>
            </w:r>
          </w:p>
        </w:tc>
      </w:tr>
      <w:tr w:rsidR="00A24CC5" w:rsidRPr="0095115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 xml:space="preserve">Управление автомобилями, разрешенная максимальная масса которых не превышает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951150">
                <w:rPr>
                  <w:sz w:val="28"/>
                  <w:szCs w:val="28"/>
                </w:rPr>
                <w:t>3500 кг</w:t>
              </w:r>
            </w:smartTag>
            <w:r w:rsidRPr="00951150">
              <w:rPr>
                <w:sz w:val="28"/>
                <w:szCs w:val="28"/>
              </w:rPr>
              <w:t xml:space="preserve"> и число сидячих мест которых, помимо сиденья водителя не превышает восьми и управление автомобилями с прицепом, разрешенная максимальная масса которого не превышает </w:t>
            </w:r>
            <w:smartTag w:uri="urn:schemas-microsoft-com:office:smarttags" w:element="metricconverter">
              <w:smartTagPr>
                <w:attr w:name="ProductID" w:val="750 кг"/>
              </w:smartTagPr>
              <w:r w:rsidRPr="00951150">
                <w:rPr>
                  <w:sz w:val="28"/>
                  <w:szCs w:val="28"/>
                </w:rPr>
                <w:t>750 кг</w:t>
              </w:r>
            </w:smartTag>
            <w:r w:rsidRPr="009511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Основы безопасного управления транспортными средствами.</w:t>
            </w:r>
          </w:p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Правовая ответственность водителя.</w:t>
            </w:r>
          </w:p>
        </w:tc>
      </w:tr>
      <w:tr w:rsidR="00A24CC5" w:rsidRPr="0095115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Соблюдение Правил дорожного движения.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Правила дорожного движения.</w:t>
            </w:r>
          </w:p>
        </w:tc>
      </w:tr>
      <w:tr w:rsidR="00A24CC5" w:rsidRPr="0095115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Оказанием первой медицинской помощи пострадавшим на дорогах.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Доврачебная медицинская помощь пострадавшим в дорожно-транспортном происшествии.</w:t>
            </w:r>
          </w:p>
        </w:tc>
      </w:tr>
      <w:tr w:rsidR="00A24CC5" w:rsidRPr="0095115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Проверка технического состояния транспортного средства и устранение возникших во время работы мелких эксплуатационных неисправностей, не требующих разборки механизмов.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Устройство и техническое обслуживание легкового автомобиля.</w:t>
            </w:r>
          </w:p>
        </w:tc>
      </w:tr>
    </w:tbl>
    <w:p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lastRenderedPageBreak/>
        <w:t> 5. Специфические требования</w:t>
      </w:r>
    </w:p>
    <w:p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Возраст к концу обучения 18 лет.</w:t>
      </w:r>
    </w:p>
    <w:p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Пол водителя транспортного средства не регламентируется.</w:t>
      </w:r>
    </w:p>
    <w:p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Медицинские ограничения регламентированы Перечнем противопока</w:t>
      </w:r>
      <w:r w:rsidRPr="00951150">
        <w:rPr>
          <w:sz w:val="28"/>
          <w:szCs w:val="28"/>
        </w:rPr>
        <w:softHyphen/>
        <w:t>заний Министерства здравоохранения Российской Федерации.</w:t>
      </w:r>
    </w:p>
    <w:p w:rsidR="005873B0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 </w:t>
      </w:r>
    </w:p>
    <w:p w:rsidR="00951150" w:rsidRDefault="00A15E85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1150">
        <w:rPr>
          <w:sz w:val="28"/>
          <w:szCs w:val="28"/>
        </w:rPr>
        <w:t xml:space="preserve">ФЕДЕРАЛЬНЫЙ КОМПОНЕНТ СОДЕРЖАНИЯ 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1150">
        <w:rPr>
          <w:sz w:val="28"/>
          <w:szCs w:val="28"/>
        </w:rPr>
        <w:t>ПРОФЕССИОНАЛЬНОГО ЦИКЛА</w:t>
      </w:r>
    </w:p>
    <w:p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1. ПРОФЕССИОНАЛЬНЫЙ БЛОК ВОДИТЕЛЯ ТРАНСПОРТНОГО СРЕДСТВА КАТЕГОРИИ "В"</w:t>
      </w:r>
    </w:p>
    <w:p w:rsidR="009D5E5E" w:rsidRPr="00951150" w:rsidRDefault="009D5E5E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5E85" w:rsidRPr="00951150" w:rsidRDefault="00A15E85" w:rsidP="0095115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1.1. Транспортное средство категории "В" (2)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1.1.1. Общее устройство автомобиля: классификация, технические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характеристики.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1.1.2. Общее устройство и работа двигателя: кривошипно-шатунный механизм, механизм газораспределения, системы охлаждения и питания, смазочная система; неисправности, их признаки и способы их устранения.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1.1.3. Электрооборудование: источники и потребители электроэнергии, система зажигания, потребители; неисправности, их признаки и способы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устранения.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1.1.4. Трансмиссия: устройство и назначение трансмиссии; сцепление, коробка передач, карданная и главная передачи; неисправности, их признаки и способы устранения.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1.1.5. Несущая система: кузов легкового автомобиля, передняя подвеска, задняя подвеска, дополнительное оборудование; неисправности, их признаки и способы устранения.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1.1.6. Механизмы управления: рулевое управление, тормозные системы; неисправности, их признаки и способы устранения.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1.1.7. Основы технического обслуживания: ежедневное техническое обслуживание, порядок выполнения работ по техническому обслуживанию, устранение мелких эксплуатационных неисправностей автомобиля.</w:t>
      </w:r>
    </w:p>
    <w:p w:rsid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5E85" w:rsidRPr="00951150" w:rsidRDefault="00A15E85" w:rsidP="0095115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1.2. Правила дорожного движения (2)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1.2.1. Общие положения. Основные понятия и термины. Обязанности водителей, пешеходов и пассажиров.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1.2.2. Дорожные знаки, дорожная разметка и ее характеристика. Регулирование дорожного движения.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1.2.3. Порядок движения, остановка и стоянка транспортных средств. Проезд перекрестков, пешеходных переходов, остановок транспортных средств общего пользования и железнодорожных переездов. Особые условия движения.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1.2.4. Перевозка людей и грузов.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1.2.5. Техническое состояние транспортных средств.</w:t>
      </w:r>
    </w:p>
    <w:p w:rsidR="00A15E85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1.2.6. Номерные, опознавательные знаки, предупредительные устройства, надписи и обозначения.</w:t>
      </w:r>
    </w:p>
    <w:p w:rsid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150" w:rsidRP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51150">
        <w:rPr>
          <w:sz w:val="28"/>
          <w:szCs w:val="28"/>
        </w:rPr>
        <w:lastRenderedPageBreak/>
        <w:t> </w:t>
      </w:r>
      <w:r w:rsidR="00951150" w:rsidRPr="00951150">
        <w:rPr>
          <w:b/>
          <w:sz w:val="28"/>
          <w:szCs w:val="28"/>
        </w:rPr>
        <w:tab/>
      </w:r>
      <w:r w:rsidRPr="00951150">
        <w:rPr>
          <w:b/>
          <w:sz w:val="28"/>
          <w:szCs w:val="28"/>
        </w:rPr>
        <w:t>1.3. Основы безопасного управления транспортными средствами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1.3.1. Техника пользования органами управления автомобилем (2).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1.3.2. Управление автомобилем в ограниченном пространстве, на перекрестках и пешеходных переходах, в транспортном потоке (3).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1.3.3. Управление автомобилем в темное время суток и в условиях ограниченной видимости, в особых и сложных дорожных условиях (3).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1.3.4. Дорожно-транспортные происшествия (2).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1.3.5. Эксплуатационные показатели автомобиля, профессиональная надежность водителя, основы психофизиологии труда водителя, этика водителя, дорожные условия (2).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1.3.6. Административная и дисциплинарная ответственность водителя за нарушение Правил дорожного движения, уголовная ответстве</w:t>
      </w:r>
      <w:r w:rsidRPr="00951150">
        <w:rPr>
          <w:sz w:val="28"/>
          <w:szCs w:val="28"/>
        </w:rPr>
        <w:softHyphen/>
        <w:t>нность за автотранспортные преступления (2).</w:t>
      </w:r>
    </w:p>
    <w:p w:rsidR="00A15E85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1.3.7. Гражданская ответственность за причинение вреда, правовые основы охраны природы (2).</w:t>
      </w:r>
    </w:p>
    <w:p w:rsidR="00951150" w:rsidRP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5E85" w:rsidRPr="00951150" w:rsidRDefault="00A15E85" w:rsidP="0095115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1.4. Доврачебная медицинская помощь пострадавшим в дорожно-транспортном происшествии (2)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1.4.1. Дорожно-транспортный травматизм, медицинское оснащение транспортных средств.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1.4.2. Общие положения, основы анатомии и физиологии человека, состояние опасное для жизни.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1.4.3. Первая помощь при травмах и пострадавшим при несчастных случаях на дорогах.</w:t>
      </w:r>
    </w:p>
    <w:p w:rsidR="00A15E85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1.4.4. Последовательность действий при оказании первой медицинской помощи пострадавшим при дорожно-транспортном происшествии.</w:t>
      </w:r>
    </w:p>
    <w:p w:rsidR="00951150" w:rsidRP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 </w:t>
      </w:r>
      <w:r w:rsidR="00951150">
        <w:rPr>
          <w:b/>
          <w:sz w:val="28"/>
          <w:szCs w:val="28"/>
        </w:rPr>
        <w:tab/>
      </w:r>
      <w:r w:rsidRPr="00951150">
        <w:rPr>
          <w:b/>
          <w:sz w:val="28"/>
          <w:szCs w:val="28"/>
        </w:rPr>
        <w:t>1.5. Вождение транспортного средства категории "В" (3)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1.5.1.</w:t>
      </w:r>
      <w:r w:rsidR="009D5E5E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Начальное обучение.</w:t>
      </w:r>
    </w:p>
    <w:p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1.5.2. Маневрирование.</w:t>
      </w:r>
    </w:p>
    <w:p w:rsidR="005873B0" w:rsidRPr="00951150" w:rsidRDefault="005873B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1.5.3. Вождение по дорогам с малой интенсивностью движения.</w:t>
      </w:r>
    </w:p>
    <w:p w:rsidR="005873B0" w:rsidRPr="00951150" w:rsidRDefault="005873B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1.5.4. Вождение по дорогам с большой интенсивностью движения.</w:t>
      </w:r>
    </w:p>
    <w:p w:rsidR="005873B0" w:rsidRPr="00951150" w:rsidRDefault="005873B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1.5.5. Особые условия вождения.</w:t>
      </w:r>
    </w:p>
    <w:p w:rsidR="005873B0" w:rsidRPr="00951150" w:rsidRDefault="005873B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1.5.6. Совершенствование навыков управления.</w:t>
      </w:r>
    </w:p>
    <w:p w:rsidR="00A15E85" w:rsidRPr="00951150" w:rsidRDefault="00A15E85" w:rsidP="00951150">
      <w:pPr>
        <w:rPr>
          <w:sz w:val="28"/>
          <w:szCs w:val="28"/>
        </w:rPr>
      </w:pPr>
    </w:p>
    <w:sectPr w:rsidR="00A15E85" w:rsidRPr="00951150" w:rsidSect="00951150">
      <w:footerReference w:type="default" r:id="rId7"/>
      <w:pgSz w:w="11906" w:h="16838"/>
      <w:pgMar w:top="719" w:right="746" w:bottom="1134" w:left="12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6A" w:rsidRDefault="0016666A" w:rsidP="00F81947">
      <w:r>
        <w:separator/>
      </w:r>
    </w:p>
  </w:endnote>
  <w:endnote w:type="continuationSeparator" w:id="0">
    <w:p w:rsidR="0016666A" w:rsidRDefault="0016666A" w:rsidP="00F8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50" w:rsidRDefault="0016666A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252FF">
      <w:rPr>
        <w:noProof/>
      </w:rPr>
      <w:t>1</w:t>
    </w:r>
    <w:r>
      <w:rPr>
        <w:noProof/>
      </w:rPr>
      <w:fldChar w:fldCharType="end"/>
    </w:r>
  </w:p>
  <w:p w:rsidR="00F81947" w:rsidRDefault="00F819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6A" w:rsidRDefault="0016666A" w:rsidP="00F81947">
      <w:r>
        <w:separator/>
      </w:r>
    </w:p>
  </w:footnote>
  <w:footnote w:type="continuationSeparator" w:id="0">
    <w:p w:rsidR="0016666A" w:rsidRDefault="0016666A" w:rsidP="00F8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85"/>
    <w:rsid w:val="000224B8"/>
    <w:rsid w:val="00032A7A"/>
    <w:rsid w:val="0016666A"/>
    <w:rsid w:val="0017007E"/>
    <w:rsid w:val="00347606"/>
    <w:rsid w:val="004D48E5"/>
    <w:rsid w:val="004F4D41"/>
    <w:rsid w:val="005873B0"/>
    <w:rsid w:val="00754070"/>
    <w:rsid w:val="008252FF"/>
    <w:rsid w:val="00951150"/>
    <w:rsid w:val="009D5E5E"/>
    <w:rsid w:val="009E713A"/>
    <w:rsid w:val="00A15E85"/>
    <w:rsid w:val="00A24CC5"/>
    <w:rsid w:val="00CE73EC"/>
    <w:rsid w:val="00F81947"/>
    <w:rsid w:val="00F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A03D11-2B2A-49FE-BCEF-757E7682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E85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D5E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8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1947"/>
    <w:rPr>
      <w:sz w:val="24"/>
      <w:szCs w:val="24"/>
    </w:rPr>
  </w:style>
  <w:style w:type="paragraph" w:styleId="a7">
    <w:name w:val="footer"/>
    <w:basedOn w:val="a"/>
    <w:link w:val="a8"/>
    <w:uiPriority w:val="99"/>
    <w:rsid w:val="00F81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1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3456-BC68-46CD-B7AA-3ED9F017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РОССИЙСКОЙ ФЕДЕРАЦИИ</vt:lpstr>
    </vt:vector>
  </TitlesOfParts>
  <Company>Частная собственность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РОССИЙСКОЙ ФЕДЕРАЦИИ</dc:title>
  <dc:creator>Zubov</dc:creator>
  <cp:lastModifiedBy>User</cp:lastModifiedBy>
  <cp:revision>2</cp:revision>
  <cp:lastPrinted>2014-01-09T13:50:00Z</cp:lastPrinted>
  <dcterms:created xsi:type="dcterms:W3CDTF">2022-01-31T11:51:00Z</dcterms:created>
  <dcterms:modified xsi:type="dcterms:W3CDTF">2022-01-31T11:51:00Z</dcterms:modified>
</cp:coreProperties>
</file>